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230" w:rsidRDefault="00707230" w:rsidP="00707230">
      <w:pPr>
        <w:pStyle w:val="ListParagraph"/>
        <w:spacing w:after="0" w:line="288" w:lineRule="auto"/>
        <w:jc w:val="center"/>
        <w:outlineLvl w:val="0"/>
        <w:rPr>
          <w:rFonts w:asciiTheme="majorHAnsi" w:hAnsiTheme="majorHAnsi" w:cstheme="majorHAnsi"/>
          <w:b/>
          <w:sz w:val="24"/>
          <w:szCs w:val="24"/>
        </w:rPr>
      </w:pPr>
      <w:bookmarkStart w:id="0" w:name="_Toc195122967"/>
      <w:r w:rsidRPr="00382FEA">
        <w:rPr>
          <w:rFonts w:asciiTheme="majorHAnsi" w:hAnsiTheme="majorHAnsi" w:cstheme="majorHAnsi"/>
          <w:b/>
          <w:sz w:val="24"/>
          <w:szCs w:val="24"/>
        </w:rPr>
        <w:t>BÉO PHÌ VÀ SA SÚT TRÍ TUỆ</w:t>
      </w:r>
      <w:bookmarkEnd w:id="0"/>
    </w:p>
    <w:p w:rsidR="00707230" w:rsidRPr="00382FEA" w:rsidRDefault="00707230" w:rsidP="00707230">
      <w:pPr>
        <w:pStyle w:val="ListParagraph"/>
        <w:spacing w:after="0" w:line="288" w:lineRule="auto"/>
        <w:jc w:val="center"/>
        <w:outlineLvl w:val="0"/>
        <w:rPr>
          <w:rFonts w:asciiTheme="majorHAnsi" w:hAnsiTheme="majorHAnsi" w:cstheme="majorHAnsi"/>
          <w:b/>
          <w:sz w:val="24"/>
          <w:szCs w:val="24"/>
        </w:rPr>
      </w:pPr>
    </w:p>
    <w:p w:rsidR="00707230" w:rsidRDefault="00707230" w:rsidP="00707230">
      <w:pPr>
        <w:pStyle w:val="ListParagraph"/>
        <w:numPr>
          <w:ilvl w:val="1"/>
          <w:numId w:val="2"/>
        </w:numPr>
        <w:spacing w:after="0" w:line="288" w:lineRule="auto"/>
        <w:ind w:left="426"/>
        <w:jc w:val="both"/>
        <w:outlineLvl w:val="1"/>
        <w:rPr>
          <w:rFonts w:asciiTheme="majorHAnsi" w:hAnsiTheme="majorHAnsi" w:cstheme="majorHAnsi"/>
          <w:b/>
          <w:sz w:val="24"/>
          <w:szCs w:val="24"/>
        </w:rPr>
      </w:pPr>
      <w:bookmarkStart w:id="1" w:name="_Toc195122968"/>
      <w:r w:rsidRPr="0030300A">
        <w:rPr>
          <w:rFonts w:asciiTheme="majorHAnsi" w:hAnsiTheme="majorHAnsi" w:cstheme="majorHAnsi"/>
          <w:b/>
          <w:sz w:val="24"/>
          <w:szCs w:val="24"/>
        </w:rPr>
        <w:t>Béo phì là gì?</w:t>
      </w:r>
      <w:bookmarkEnd w:id="1"/>
    </w:p>
    <w:p w:rsidR="00707230" w:rsidRPr="00CA5F5C" w:rsidRDefault="00707230" w:rsidP="00CA5F5C">
      <w:pPr>
        <w:spacing w:after="0" w:line="288" w:lineRule="auto"/>
        <w:ind w:firstLine="426"/>
        <w:jc w:val="both"/>
        <w:rPr>
          <w:rFonts w:asciiTheme="majorHAnsi" w:hAnsiTheme="majorHAnsi" w:cstheme="majorHAnsi"/>
          <w:sz w:val="24"/>
          <w:szCs w:val="24"/>
          <w:vertAlign w:val="superscript"/>
        </w:rPr>
      </w:pPr>
      <w:r w:rsidRPr="00995A0C">
        <w:rPr>
          <w:rFonts w:asciiTheme="majorHAnsi" w:hAnsiTheme="majorHAnsi" w:cstheme="majorHAnsi"/>
          <w:sz w:val="24"/>
          <w:szCs w:val="24"/>
        </w:rPr>
        <w:t>Béo phì là một căn bệnh phức tạp mãn tính được xác định bởi tình trạng tích tụ mỡ quá mức có thể gây hại cho sức khỏe. Chẩn đoán tình trạng thừa cân và béo phì được thực hiện bằng cách đo cân nặng và chiều cao của mọi người và bằng cách tính chỉ số khối cơ thể (BMI): cân nặng (kg)/chiều cao² (m²)</w:t>
      </w:r>
      <w:r>
        <w:rPr>
          <w:rFonts w:asciiTheme="majorHAnsi" w:hAnsiTheme="majorHAnsi" w:cstheme="majorHAnsi"/>
          <w:sz w:val="24"/>
          <w:szCs w:val="24"/>
        </w:rPr>
        <w:t>. Theo Tổ chức Y tế Thế giới, chẩn đoán là thừa cân khi BMI ≥25 kg/m</w:t>
      </w:r>
      <w:r>
        <w:rPr>
          <w:rFonts w:asciiTheme="majorHAnsi" w:hAnsiTheme="majorHAnsi" w:cstheme="majorHAnsi"/>
          <w:sz w:val="24"/>
          <w:szCs w:val="24"/>
          <w:vertAlign w:val="superscript"/>
        </w:rPr>
        <w:t>2</w:t>
      </w:r>
      <w:r>
        <w:rPr>
          <w:rFonts w:asciiTheme="majorHAnsi" w:hAnsiTheme="majorHAnsi" w:cstheme="majorHAnsi"/>
          <w:sz w:val="24"/>
          <w:szCs w:val="24"/>
        </w:rPr>
        <w:t xml:space="preserve"> và béo phì khi BMI ≥ 30kg/m</w:t>
      </w:r>
      <w:r>
        <w:rPr>
          <w:rFonts w:asciiTheme="majorHAnsi" w:hAnsiTheme="majorHAnsi" w:cstheme="majorHAnsi"/>
          <w:sz w:val="24"/>
          <w:szCs w:val="24"/>
          <w:vertAlign w:val="superscript"/>
        </w:rPr>
        <w:t xml:space="preserve">2 </w:t>
      </w:r>
      <w:r>
        <w:rPr>
          <w:rFonts w:asciiTheme="majorHAnsi" w:hAnsiTheme="majorHAnsi" w:cstheme="majorHAnsi"/>
          <w:sz w:val="24"/>
          <w:szCs w:val="24"/>
          <w:vertAlign w:val="superscript"/>
        </w:rPr>
        <w:fldChar w:fldCharType="begin"/>
      </w:r>
      <w:r>
        <w:rPr>
          <w:rFonts w:asciiTheme="majorHAnsi" w:hAnsiTheme="majorHAnsi" w:cstheme="majorHAnsi"/>
          <w:sz w:val="24"/>
          <w:szCs w:val="24"/>
          <w:vertAlign w:val="superscript"/>
        </w:rPr>
        <w:instrText xml:space="preserve"> ADDIN ZOTERO_ITEM CSL_CITATION {"citationID":"CXOtL4jX","properties":{"formattedCitation":"\\super 1\\nosupersub{}","plainCitation":"1","noteIndex":0},"citationItems":[{"id":497,"uris":["http://zotero.org/users/local/P5tTLUAI/items/X7QJT2JC"],"itemData":{"id":497,"type":"webpage","abstract":"Obesity and overweight fact sheet from WHO providing key facts and information on causes, health consequences, double burden of disease, prevention, WHO response.","language":"en","title":"Obesity and overweight","URL":"https://www.who.int/news-room/fact-sheets/detail/obesity-and-overweight","accessed":{"date-parts":[["2025",4,2]]}}}],"schema":"https://github.com/citation-style-language/schema/raw/master/csl-citation.json"} </w:instrText>
      </w:r>
      <w:r>
        <w:rPr>
          <w:rFonts w:asciiTheme="majorHAnsi" w:hAnsiTheme="majorHAnsi" w:cstheme="majorHAnsi"/>
          <w:sz w:val="24"/>
          <w:szCs w:val="24"/>
          <w:vertAlign w:val="superscript"/>
        </w:rPr>
        <w:fldChar w:fldCharType="separate"/>
      </w:r>
      <w:r w:rsidRPr="00707230">
        <w:rPr>
          <w:rFonts w:ascii="Times New Roman" w:hAnsi="Times New Roman" w:cs="Times New Roman"/>
          <w:sz w:val="24"/>
          <w:szCs w:val="24"/>
          <w:vertAlign w:val="superscript"/>
        </w:rPr>
        <w:t>1</w:t>
      </w:r>
      <w:r>
        <w:rPr>
          <w:rFonts w:asciiTheme="majorHAnsi" w:hAnsiTheme="majorHAnsi" w:cstheme="majorHAnsi"/>
          <w:sz w:val="24"/>
          <w:szCs w:val="24"/>
          <w:vertAlign w:val="superscript"/>
        </w:rPr>
        <w:fldChar w:fldCharType="end"/>
      </w:r>
      <w:r>
        <w:rPr>
          <w:rFonts w:asciiTheme="majorHAnsi" w:hAnsiTheme="majorHAnsi" w:cstheme="majorHAnsi"/>
          <w:sz w:val="24"/>
          <w:szCs w:val="24"/>
        </w:rPr>
        <w:t>. Tiêu chuẩn này có thay đổi cho người Việt Nam, với ngưỡng BMI của người thừa cân là từ 23 – 24,9 kg/m</w:t>
      </w:r>
      <w:r>
        <w:rPr>
          <w:rFonts w:asciiTheme="majorHAnsi" w:hAnsiTheme="majorHAnsi" w:cstheme="majorHAnsi"/>
          <w:sz w:val="24"/>
          <w:szCs w:val="24"/>
          <w:vertAlign w:val="superscript"/>
        </w:rPr>
        <w:t>2</w:t>
      </w:r>
      <w:r>
        <w:rPr>
          <w:rFonts w:asciiTheme="majorHAnsi" w:hAnsiTheme="majorHAnsi" w:cstheme="majorHAnsi"/>
          <w:sz w:val="24"/>
          <w:szCs w:val="24"/>
        </w:rPr>
        <w:t xml:space="preserve">, </w:t>
      </w:r>
      <w:r>
        <w:rPr>
          <w:rFonts w:asciiTheme="majorHAnsi" w:hAnsiTheme="majorHAnsi" w:cstheme="majorHAnsi"/>
          <w:sz w:val="24"/>
          <w:szCs w:val="24"/>
          <w:lang w:val="vi-VN"/>
        </w:rPr>
        <w:t>người béo phì là ≥ 25 kg/m</w:t>
      </w:r>
      <w:r>
        <w:rPr>
          <w:rFonts w:asciiTheme="majorHAnsi" w:hAnsiTheme="majorHAnsi" w:cstheme="majorHAnsi"/>
          <w:sz w:val="24"/>
          <w:szCs w:val="24"/>
          <w:vertAlign w:val="superscript"/>
          <w:lang w:val="vi-VN"/>
        </w:rPr>
        <w:t>2</w:t>
      </w:r>
      <w:r w:rsidR="00CA5F5C">
        <w:rPr>
          <w:rFonts w:asciiTheme="majorHAnsi" w:hAnsiTheme="majorHAnsi" w:cstheme="majorHAnsi"/>
          <w:sz w:val="24"/>
          <w:szCs w:val="24"/>
          <w:vertAlign w:val="superscript"/>
        </w:rPr>
        <w:t xml:space="preserve"> </w:t>
      </w:r>
      <w:r w:rsidR="00CA5F5C">
        <w:rPr>
          <w:rFonts w:asciiTheme="majorHAnsi" w:hAnsiTheme="majorHAnsi" w:cstheme="majorHAnsi"/>
          <w:sz w:val="24"/>
          <w:szCs w:val="24"/>
          <w:vertAlign w:val="superscript"/>
        </w:rPr>
        <w:fldChar w:fldCharType="begin"/>
      </w:r>
      <w:r w:rsidR="00CA5F5C">
        <w:rPr>
          <w:rFonts w:asciiTheme="majorHAnsi" w:hAnsiTheme="majorHAnsi" w:cstheme="majorHAnsi"/>
          <w:sz w:val="24"/>
          <w:szCs w:val="24"/>
          <w:vertAlign w:val="superscript"/>
        </w:rPr>
        <w:instrText xml:space="preserve"> ADDIN ZOTERO_ITEM CSL_CITATION {"citationID":"piBFTzCU","properties":{"formattedCitation":"\\super 2\\nosupersub{}","plainCitation":"2","noteIndex":0},"citationItems":[{"id":495,"uris":["http://zotero.org/users/local/P5tTLUAI/items/F2FZXQZW"],"itemData":{"id":495,"type":"document","abstract":"Toàn văn Quyết định 2892/QĐ-BYT năm 2022 về tài liệu chuyên môn","title":"Quyết định 2892/QĐ-BYT về việc ban hành tài liệu \"Hướng dẫn chẩn đoán và điều trị bệnh béo phì\"","author":[{"family":"Bộ Y tế","given":""}],"accessed":{"date-parts":[["2025",4,2]]},"issued":{"date-parts":[["2022"]]}}}],"schema":"https://github.com/citation-style-language/schema/raw/master/csl-citation.json"} </w:instrText>
      </w:r>
      <w:r w:rsidR="00CA5F5C">
        <w:rPr>
          <w:rFonts w:asciiTheme="majorHAnsi" w:hAnsiTheme="majorHAnsi" w:cstheme="majorHAnsi"/>
          <w:sz w:val="24"/>
          <w:szCs w:val="24"/>
          <w:vertAlign w:val="superscript"/>
        </w:rPr>
        <w:fldChar w:fldCharType="separate"/>
      </w:r>
      <w:r w:rsidR="00CA5F5C" w:rsidRPr="00CA5F5C">
        <w:rPr>
          <w:rFonts w:ascii="Calibri Light" w:hAnsi="Calibri Light" w:cs="Calibri Light"/>
          <w:sz w:val="24"/>
          <w:szCs w:val="24"/>
          <w:vertAlign w:val="superscript"/>
        </w:rPr>
        <w:t>2</w:t>
      </w:r>
      <w:r w:rsidR="00CA5F5C">
        <w:rPr>
          <w:rFonts w:asciiTheme="majorHAnsi" w:hAnsiTheme="majorHAnsi" w:cstheme="majorHAnsi"/>
          <w:sz w:val="24"/>
          <w:szCs w:val="24"/>
          <w:vertAlign w:val="superscript"/>
        </w:rPr>
        <w:fldChar w:fldCharType="end"/>
      </w:r>
      <w:r>
        <w:rPr>
          <w:rFonts w:asciiTheme="majorHAnsi" w:hAnsiTheme="majorHAnsi" w:cstheme="majorHAnsi"/>
          <w:sz w:val="24"/>
          <w:szCs w:val="24"/>
          <w:lang w:val="vi-VN"/>
        </w:rPr>
        <w:t>.</w:t>
      </w:r>
      <w:r>
        <w:rPr>
          <w:rFonts w:asciiTheme="majorHAnsi" w:hAnsiTheme="majorHAnsi" w:cstheme="majorHAnsi"/>
          <w:sz w:val="24"/>
          <w:szCs w:val="24"/>
        </w:rPr>
        <w:t xml:space="preserve"> </w:t>
      </w:r>
    </w:p>
    <w:p w:rsidR="00707230" w:rsidRDefault="00707230" w:rsidP="00707230">
      <w:pPr>
        <w:spacing w:after="0" w:line="288" w:lineRule="auto"/>
        <w:ind w:firstLine="426"/>
        <w:jc w:val="both"/>
        <w:rPr>
          <w:rFonts w:asciiTheme="majorHAnsi" w:hAnsiTheme="majorHAnsi" w:cstheme="majorHAnsi"/>
          <w:sz w:val="24"/>
          <w:szCs w:val="24"/>
          <w:lang w:val="vi-VN"/>
        </w:rPr>
      </w:pPr>
      <w:r>
        <w:rPr>
          <w:rFonts w:asciiTheme="majorHAnsi" w:hAnsiTheme="majorHAnsi" w:cstheme="majorHAnsi"/>
          <w:sz w:val="24"/>
          <w:szCs w:val="24"/>
          <w:lang w:val="vi-VN"/>
        </w:rPr>
        <w:t>Béo phì có 3 thể:</w:t>
      </w:r>
    </w:p>
    <w:p w:rsidR="00707230" w:rsidRDefault="00707230" w:rsidP="00707230">
      <w:pPr>
        <w:pStyle w:val="ListParagraph"/>
        <w:numPr>
          <w:ilvl w:val="0"/>
          <w:numId w:val="1"/>
        </w:numPr>
        <w:spacing w:after="0" w:line="288" w:lineRule="auto"/>
        <w:jc w:val="both"/>
        <w:rPr>
          <w:rFonts w:asciiTheme="majorHAnsi" w:hAnsiTheme="majorHAnsi" w:cstheme="majorHAnsi"/>
          <w:sz w:val="24"/>
          <w:szCs w:val="24"/>
          <w:lang w:val="vi-VN"/>
        </w:rPr>
      </w:pPr>
      <w:r w:rsidRPr="00333802">
        <w:rPr>
          <w:rFonts w:asciiTheme="majorHAnsi" w:hAnsiTheme="majorHAnsi" w:cstheme="majorHAnsi"/>
          <w:sz w:val="24"/>
          <w:szCs w:val="24"/>
          <w:lang w:val="vi-VN"/>
        </w:rPr>
        <w:t xml:space="preserve">Béo phì dạng nam: béo phì phần trên cơ thể, béo phì kiểu bụng, béo phì hình quả táo, béo phì trung tâm. Mỡ phân bố nhiều ở bụng, thân , vai, cánh tay. </w:t>
      </w:r>
    </w:p>
    <w:p w:rsidR="00707230" w:rsidRPr="00333802" w:rsidRDefault="00707230" w:rsidP="00707230">
      <w:pPr>
        <w:pStyle w:val="ListParagraph"/>
        <w:numPr>
          <w:ilvl w:val="0"/>
          <w:numId w:val="1"/>
        </w:numPr>
        <w:spacing w:after="0" w:line="288" w:lineRule="auto"/>
        <w:jc w:val="both"/>
        <w:rPr>
          <w:rFonts w:asciiTheme="majorHAnsi" w:hAnsiTheme="majorHAnsi" w:cstheme="majorHAnsi"/>
          <w:sz w:val="24"/>
          <w:szCs w:val="24"/>
          <w:lang w:val="vi-VN"/>
        </w:rPr>
      </w:pPr>
      <w:r w:rsidRPr="00333802">
        <w:rPr>
          <w:rFonts w:asciiTheme="majorHAnsi" w:hAnsiTheme="majorHAnsi" w:cstheme="majorHAnsi"/>
          <w:sz w:val="24"/>
          <w:szCs w:val="24"/>
          <w:lang w:val="vi-VN"/>
        </w:rPr>
        <w:t>Béo phì dạng nữ: béo phì phần dưới của cơ thể, béo phì hình quả lê. Mỡ phân bố nhiều chủ yếu ở phần dưới của cơ thể (khung chậu, vùng thắt lưng, mông, đùi)</w:t>
      </w:r>
    </w:p>
    <w:p w:rsidR="00707230" w:rsidRPr="005F74C9" w:rsidRDefault="00707230" w:rsidP="00707230">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lang w:val="vi-VN"/>
        </w:rPr>
        <w:t>Béo phì hỗn hợp: Mỡ phân bố khá đồng đều, các trường hợp quá béo phì thường là béo phì hỗn hợp.</w:t>
      </w:r>
    </w:p>
    <w:p w:rsidR="00707230" w:rsidRPr="000724FE" w:rsidRDefault="00707230" w:rsidP="00707230">
      <w:pPr>
        <w:spacing w:after="0" w:line="288" w:lineRule="auto"/>
        <w:ind w:firstLine="426"/>
        <w:jc w:val="both"/>
        <w:rPr>
          <w:rFonts w:asciiTheme="majorHAnsi" w:hAnsiTheme="majorHAnsi" w:cstheme="majorHAnsi"/>
          <w:sz w:val="24"/>
          <w:szCs w:val="24"/>
        </w:rPr>
      </w:pPr>
      <w:r w:rsidRPr="00995A0C">
        <w:rPr>
          <w:rFonts w:asciiTheme="majorHAnsi" w:hAnsiTheme="majorHAnsi" w:cstheme="majorHAnsi"/>
          <w:sz w:val="24"/>
          <w:szCs w:val="24"/>
        </w:rPr>
        <w:t>Béo phì có thể dẫn đến tăng nguy cơ mắc bệnh tiểu đường loại 2 và bệnh tim, có thể ảnh hưởng đến sức khỏe xương và khả năng sinh sản, làm tăng nguy cơ mắc một số bệnh ung thư. Béo phì ảnh hưởng đến chất lượng cuộc sống, chẳng hạn như giấc ngủ hoặc việc di chuyển.</w:t>
      </w:r>
    </w:p>
    <w:p w:rsidR="00707230" w:rsidRDefault="00707230" w:rsidP="00707230">
      <w:pPr>
        <w:pStyle w:val="ListParagraph"/>
        <w:numPr>
          <w:ilvl w:val="1"/>
          <w:numId w:val="2"/>
        </w:numPr>
        <w:spacing w:after="0" w:line="288" w:lineRule="auto"/>
        <w:ind w:left="426"/>
        <w:jc w:val="both"/>
        <w:outlineLvl w:val="1"/>
        <w:rPr>
          <w:rFonts w:asciiTheme="majorHAnsi" w:hAnsiTheme="majorHAnsi" w:cstheme="majorHAnsi"/>
          <w:b/>
          <w:sz w:val="24"/>
          <w:szCs w:val="24"/>
        </w:rPr>
      </w:pPr>
      <w:bookmarkStart w:id="2" w:name="_Toc195122969"/>
      <w:r w:rsidRPr="0030300A">
        <w:rPr>
          <w:rFonts w:asciiTheme="majorHAnsi" w:hAnsiTheme="majorHAnsi" w:cstheme="majorHAnsi"/>
          <w:b/>
          <w:sz w:val="24"/>
          <w:szCs w:val="24"/>
        </w:rPr>
        <w:t>Mối liên quan giữa béo phì và sa sút trí tuệ</w:t>
      </w:r>
      <w:bookmarkEnd w:id="2"/>
      <w:r>
        <w:rPr>
          <w:rFonts w:asciiTheme="majorHAnsi" w:hAnsiTheme="majorHAnsi" w:cstheme="majorHAnsi"/>
          <w:b/>
          <w:sz w:val="24"/>
          <w:szCs w:val="24"/>
        </w:rPr>
        <w:fldChar w:fldCharType="begin"/>
      </w:r>
      <w:r>
        <w:rPr>
          <w:rFonts w:asciiTheme="majorHAnsi" w:hAnsiTheme="majorHAnsi" w:cstheme="majorHAnsi"/>
          <w:b/>
          <w:sz w:val="24"/>
          <w:szCs w:val="24"/>
        </w:rPr>
        <w:instrText xml:space="preserve"> ADDIN ZOTERO_ITEM CSL_CITATION {"citationID":"2Y3irUrh","properties":{"formattedCitation":"\\super 3\\nosupersub{}","plainCitation":"3","noteIndex":0},"citationItems":[{"id":404,"uris":["http://zotero.org/users/local/P5tTLUAI/items/Z7DNNPN7"],"itemData":{"id":404,"type":"article-journal","container-title":"The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Pr>
          <w:rFonts w:asciiTheme="majorHAnsi" w:hAnsiTheme="majorHAnsi" w:cstheme="majorHAnsi"/>
          <w:b/>
          <w:sz w:val="24"/>
          <w:szCs w:val="24"/>
        </w:rPr>
        <w:fldChar w:fldCharType="separate"/>
      </w:r>
      <w:r w:rsidRPr="00707230">
        <w:rPr>
          <w:rFonts w:ascii="Calibri Light" w:hAnsi="Calibri Light" w:cs="Calibri Light"/>
          <w:sz w:val="24"/>
          <w:szCs w:val="24"/>
          <w:vertAlign w:val="superscript"/>
        </w:rPr>
        <w:t>3</w:t>
      </w:r>
      <w:r>
        <w:rPr>
          <w:rFonts w:asciiTheme="majorHAnsi" w:hAnsiTheme="majorHAnsi" w:cstheme="majorHAnsi"/>
          <w:b/>
          <w:sz w:val="24"/>
          <w:szCs w:val="24"/>
        </w:rPr>
        <w:fldChar w:fldCharType="end"/>
      </w:r>
    </w:p>
    <w:p w:rsidR="00707230" w:rsidRPr="00382FEA" w:rsidRDefault="00707230" w:rsidP="00707230">
      <w:pPr>
        <w:spacing w:after="0" w:line="288" w:lineRule="auto"/>
        <w:ind w:left="66" w:firstLine="360"/>
        <w:jc w:val="both"/>
        <w:rPr>
          <w:rFonts w:asciiTheme="majorHAnsi" w:hAnsiTheme="majorHAnsi" w:cstheme="majorHAnsi"/>
          <w:sz w:val="24"/>
          <w:szCs w:val="24"/>
          <w:lang w:val="vi-VN"/>
        </w:rPr>
      </w:pPr>
      <w:r w:rsidRPr="00382FEA">
        <w:rPr>
          <w:rFonts w:asciiTheme="majorHAnsi" w:hAnsiTheme="majorHAnsi" w:cstheme="majorHAnsi"/>
          <w:sz w:val="24"/>
          <w:szCs w:val="24"/>
          <w:lang w:val="vi-VN"/>
        </w:rPr>
        <w:t>Béo phì làm tăng nguy cơ mắc sa sút trí tuệ từ 1,1 – 1,3 lần so với người bình thường. Cơ chế gây sa sút trí tuệ ở người béo phì do liên quan đến rối loạn chuyển hóa đường, mỡ và gây ra các bệnh lý tim mạch. Bên cạnh đó sự kì thị người đái tháo đường cũng làm tăng hoạt tính của các chất gây phản ứ</w:t>
      </w:r>
      <w:r>
        <w:rPr>
          <w:rFonts w:asciiTheme="majorHAnsi" w:hAnsiTheme="majorHAnsi" w:cstheme="majorHAnsi"/>
          <w:sz w:val="24"/>
          <w:szCs w:val="24"/>
          <w:lang w:val="vi-VN"/>
        </w:rPr>
        <w:t>ng viêm (corti</w:t>
      </w:r>
      <w:r>
        <w:rPr>
          <w:rFonts w:asciiTheme="majorHAnsi" w:hAnsiTheme="majorHAnsi" w:cstheme="majorHAnsi"/>
          <w:sz w:val="24"/>
          <w:szCs w:val="24"/>
        </w:rPr>
        <w:t>sol</w:t>
      </w:r>
      <w:r w:rsidRPr="00382FEA">
        <w:rPr>
          <w:rFonts w:asciiTheme="majorHAnsi" w:hAnsiTheme="majorHAnsi" w:cstheme="majorHAnsi"/>
          <w:sz w:val="24"/>
          <w:szCs w:val="24"/>
          <w:lang w:val="vi-VN"/>
        </w:rPr>
        <w:t>) từ đó tạo cơ hội cho sa sút trí tuệ xuất hiện.</w:t>
      </w:r>
    </w:p>
    <w:p w:rsidR="00707230" w:rsidRPr="0030300A" w:rsidRDefault="00707230" w:rsidP="00707230">
      <w:pPr>
        <w:pStyle w:val="ListParagraph"/>
        <w:numPr>
          <w:ilvl w:val="1"/>
          <w:numId w:val="2"/>
        </w:numPr>
        <w:spacing w:after="0" w:line="288" w:lineRule="auto"/>
        <w:ind w:left="426"/>
        <w:jc w:val="both"/>
        <w:outlineLvl w:val="1"/>
        <w:rPr>
          <w:rFonts w:asciiTheme="majorHAnsi" w:hAnsiTheme="majorHAnsi" w:cstheme="majorHAnsi"/>
          <w:b/>
          <w:sz w:val="24"/>
          <w:szCs w:val="24"/>
        </w:rPr>
      </w:pPr>
      <w:bookmarkStart w:id="3" w:name="_Toc195122970"/>
      <w:r w:rsidRPr="0030300A">
        <w:rPr>
          <w:rFonts w:asciiTheme="majorHAnsi" w:hAnsiTheme="majorHAnsi" w:cstheme="majorHAnsi"/>
          <w:b/>
          <w:sz w:val="24"/>
          <w:szCs w:val="24"/>
        </w:rPr>
        <w:t>Dự phòng và điều trị béo phì để phòng sa sút trí tuệ</w:t>
      </w:r>
      <w:bookmarkEnd w:id="3"/>
      <w:r w:rsidR="00CA5F5C">
        <w:rPr>
          <w:rFonts w:asciiTheme="majorHAnsi" w:hAnsiTheme="majorHAnsi" w:cstheme="majorHAnsi"/>
          <w:b/>
          <w:sz w:val="24"/>
          <w:szCs w:val="24"/>
        </w:rPr>
        <w:fldChar w:fldCharType="begin"/>
      </w:r>
      <w:r w:rsidR="00CA5F5C">
        <w:rPr>
          <w:rFonts w:asciiTheme="majorHAnsi" w:hAnsiTheme="majorHAnsi" w:cstheme="majorHAnsi"/>
          <w:b/>
          <w:sz w:val="24"/>
          <w:szCs w:val="24"/>
        </w:rPr>
        <w:instrText xml:space="preserve"> ADDIN ZOTERO_ITEM CSL_CITATION {"citationID":"JEtKW5Da","properties":{"formattedCitation":"\\super 2\\nosupersub{}","plainCitation":"2","noteIndex":0},"citationItems":[{"id":495,"uris":["http://zotero.org/users/local/P5tTLUAI/items/F2FZXQZW"],"itemData":{"id":495,"type":"document","abstract":"Toàn văn Quyết định 2892/QĐ-BYT năm 2022 về tài liệu chuyên môn","title":"Quyết định 2892/QĐ-BYT về việc ban hành tài liệu \"Hướng dẫn chẩn đoán và điều trị bệnh béo phì\"","author":[{"family":"Bộ Y tế","given":""}],"accessed":{"date-parts":[["2025",4,2]]},"issued":{"date-parts":[["2022"]]}}}],"schema":"https://github.com/citation-style-language/schema/raw/master/csl-citation.json"} </w:instrText>
      </w:r>
      <w:r w:rsidR="00CA5F5C">
        <w:rPr>
          <w:rFonts w:asciiTheme="majorHAnsi" w:hAnsiTheme="majorHAnsi" w:cstheme="majorHAnsi"/>
          <w:b/>
          <w:sz w:val="24"/>
          <w:szCs w:val="24"/>
        </w:rPr>
        <w:fldChar w:fldCharType="separate"/>
      </w:r>
      <w:r w:rsidR="00CA5F5C" w:rsidRPr="00CA5F5C">
        <w:rPr>
          <w:rFonts w:ascii="Calibri Light" w:hAnsi="Calibri Light" w:cs="Calibri Light"/>
          <w:sz w:val="24"/>
          <w:szCs w:val="24"/>
          <w:vertAlign w:val="superscript"/>
        </w:rPr>
        <w:t>2</w:t>
      </w:r>
      <w:r w:rsidR="00CA5F5C">
        <w:rPr>
          <w:rFonts w:asciiTheme="majorHAnsi" w:hAnsiTheme="majorHAnsi" w:cstheme="majorHAnsi"/>
          <w:b/>
          <w:sz w:val="24"/>
          <w:szCs w:val="24"/>
        </w:rPr>
        <w:fldChar w:fldCharType="end"/>
      </w:r>
    </w:p>
    <w:p w:rsidR="00707230" w:rsidRDefault="00707230" w:rsidP="00707230">
      <w:pPr>
        <w:ind w:left="66" w:firstLine="360"/>
        <w:jc w:val="both"/>
        <w:rPr>
          <w:rFonts w:asciiTheme="majorHAnsi" w:hAnsiTheme="majorHAnsi" w:cstheme="majorHAnsi"/>
          <w:sz w:val="24"/>
          <w:szCs w:val="24"/>
          <w:lang w:val="vi-VN"/>
        </w:rPr>
      </w:pPr>
      <w:r>
        <w:rPr>
          <w:rFonts w:asciiTheme="majorHAnsi" w:hAnsiTheme="majorHAnsi" w:cstheme="majorHAnsi"/>
          <w:sz w:val="24"/>
          <w:szCs w:val="24"/>
        </w:rPr>
        <w:t xml:space="preserve">Các nghiên cứu cho thấy các hành vi, thói quen có lợi cho sức khỏe dù chưa giúp cải thiện cân nặng nhưng vẫn có tác dụng cải thiện nguy cơ sa sút trí tuệ. </w:t>
      </w:r>
    </w:p>
    <w:p w:rsidR="00707230" w:rsidRDefault="00707230" w:rsidP="00707230">
      <w:pPr>
        <w:ind w:left="66" w:firstLine="360"/>
        <w:jc w:val="both"/>
        <w:rPr>
          <w:rFonts w:asciiTheme="majorHAnsi" w:hAnsiTheme="majorHAnsi" w:cstheme="majorHAnsi"/>
          <w:sz w:val="24"/>
          <w:szCs w:val="24"/>
        </w:rPr>
      </w:pPr>
      <w:r>
        <w:rPr>
          <w:rFonts w:asciiTheme="majorHAnsi" w:hAnsiTheme="majorHAnsi" w:cstheme="majorHAnsi"/>
          <w:sz w:val="24"/>
          <w:szCs w:val="24"/>
        </w:rPr>
        <w:t xml:space="preserve">Các hành vi sức khỏe giúp cải thiện cân nặng bao gồm: tăng cường hoạt động thể lực, ăn tăng chất xơ, rau xanh, hạn chế đồ ăn chứa dầu mỡ. </w:t>
      </w:r>
    </w:p>
    <w:p w:rsidR="00707230" w:rsidRDefault="00707230" w:rsidP="00707230">
      <w:pPr>
        <w:ind w:left="66" w:firstLine="360"/>
        <w:jc w:val="both"/>
        <w:rPr>
          <w:rFonts w:asciiTheme="majorHAnsi" w:hAnsiTheme="majorHAnsi" w:cstheme="majorHAnsi"/>
          <w:sz w:val="24"/>
          <w:szCs w:val="24"/>
        </w:rPr>
      </w:pPr>
      <w:r>
        <w:rPr>
          <w:rFonts w:asciiTheme="majorHAnsi" w:hAnsiTheme="majorHAnsi" w:cstheme="majorHAnsi"/>
          <w:sz w:val="24"/>
          <w:szCs w:val="24"/>
        </w:rPr>
        <w:t xml:space="preserve">Cải thiện cân nặng một cách hợp lý cũng giúp cải thiện nguy cơ mắc sa sút trí tuệ. Hiện nay, có nhiều biện pháp hoặc phối hợp các biện pháp giúp cải thiện cân nặng bao gồm: kiểm soát năng lượng, điều trị bằng các thuốc đã được cấp phép, kiểm soát các vấn đề tâm lý có thể gây ảnh hưởng đến việc kiểm soát năng lượng. </w:t>
      </w:r>
    </w:p>
    <w:p w:rsidR="00707230" w:rsidRDefault="00707230" w:rsidP="00707230">
      <w:pPr>
        <w:ind w:left="66" w:firstLine="360"/>
        <w:jc w:val="both"/>
        <w:rPr>
          <w:rFonts w:asciiTheme="majorHAnsi" w:hAnsiTheme="majorHAnsi" w:cstheme="majorHAnsi"/>
          <w:sz w:val="24"/>
          <w:szCs w:val="24"/>
        </w:rPr>
      </w:pPr>
      <w:r>
        <w:rPr>
          <w:rFonts w:asciiTheme="majorHAnsi" w:hAnsiTheme="majorHAnsi" w:cstheme="majorHAnsi"/>
          <w:sz w:val="24"/>
          <w:szCs w:val="24"/>
        </w:rPr>
        <w:t>Các biện pháp giảm cân không an toàn có thể gây hậu quả nghiêm trọng. Vì vậy, trong trường hợp cần kiểm soát cân nặng, anh/chị hãy liên hệ với nhân viên y tế để được hỗ trợ.</w:t>
      </w:r>
    </w:p>
    <w:p w:rsidR="00CA5F5C" w:rsidRDefault="00CA5F5C" w:rsidP="00707230">
      <w:pPr>
        <w:ind w:left="66" w:firstLine="360"/>
        <w:jc w:val="both"/>
        <w:rPr>
          <w:rFonts w:asciiTheme="majorHAnsi" w:hAnsiTheme="majorHAnsi" w:cstheme="majorHAnsi"/>
          <w:b/>
          <w:sz w:val="24"/>
          <w:szCs w:val="24"/>
        </w:rPr>
      </w:pPr>
      <w:r>
        <w:rPr>
          <w:rFonts w:asciiTheme="majorHAnsi" w:hAnsiTheme="majorHAnsi" w:cstheme="majorHAnsi"/>
          <w:b/>
          <w:sz w:val="24"/>
          <w:szCs w:val="24"/>
        </w:rPr>
        <w:t>Tài liệu tham khảo:</w:t>
      </w:r>
    </w:p>
    <w:p w:rsidR="00CA5F5C" w:rsidRPr="00CA5F5C" w:rsidRDefault="00CA5F5C" w:rsidP="00CA5F5C">
      <w:pPr>
        <w:pStyle w:val="Bibliography"/>
        <w:rPr>
          <w:rFonts w:ascii="Calibri Light" w:hAnsi="Calibri Light" w:cs="Calibri Light"/>
          <w:sz w:val="24"/>
        </w:rPr>
      </w:pPr>
      <w:r>
        <w:rPr>
          <w:rFonts w:asciiTheme="majorHAnsi" w:hAnsiTheme="majorHAnsi" w:cstheme="majorHAnsi"/>
          <w:b/>
        </w:rPr>
        <w:lastRenderedPageBreak/>
        <w:fldChar w:fldCharType="begin"/>
      </w:r>
      <w:r>
        <w:rPr>
          <w:rFonts w:asciiTheme="majorHAnsi" w:hAnsiTheme="majorHAnsi" w:cstheme="majorHAnsi"/>
          <w:b/>
        </w:rPr>
        <w:instrText xml:space="preserve"> ADDIN ZOTERO_BIBL {"uncited":[],"omitted":[],"custom":[]} CSL_BIBLIOGRAPHY </w:instrText>
      </w:r>
      <w:r>
        <w:rPr>
          <w:rFonts w:asciiTheme="majorHAnsi" w:hAnsiTheme="majorHAnsi" w:cstheme="majorHAnsi"/>
          <w:b/>
        </w:rPr>
        <w:fldChar w:fldCharType="separate"/>
      </w:r>
      <w:r w:rsidRPr="00CA5F5C">
        <w:rPr>
          <w:rFonts w:ascii="Calibri Light" w:hAnsi="Calibri Light" w:cs="Calibri Light"/>
          <w:sz w:val="24"/>
        </w:rPr>
        <w:t>1.</w:t>
      </w:r>
      <w:r w:rsidRPr="00CA5F5C">
        <w:rPr>
          <w:rFonts w:ascii="Calibri Light" w:hAnsi="Calibri Light" w:cs="Calibri Light"/>
          <w:sz w:val="24"/>
        </w:rPr>
        <w:tab/>
        <w:t>Obesity and overweight. Accessed April 2, 2025. https://www.who.int/news-room/fact-sheets/detail/obesity-and-overweight</w:t>
      </w:r>
    </w:p>
    <w:p w:rsidR="00CA5F5C" w:rsidRPr="00CA5F5C" w:rsidRDefault="00CA5F5C" w:rsidP="00CA5F5C">
      <w:pPr>
        <w:pStyle w:val="Bibliography"/>
        <w:rPr>
          <w:rFonts w:ascii="Calibri Light" w:hAnsi="Calibri Light" w:cs="Calibri Light"/>
          <w:sz w:val="24"/>
        </w:rPr>
      </w:pPr>
      <w:r w:rsidRPr="00CA5F5C">
        <w:rPr>
          <w:rFonts w:ascii="Calibri Light" w:hAnsi="Calibri Light" w:cs="Calibri Light"/>
          <w:sz w:val="24"/>
        </w:rPr>
        <w:t>2.</w:t>
      </w:r>
      <w:r w:rsidRPr="00CA5F5C">
        <w:rPr>
          <w:rFonts w:ascii="Calibri Light" w:hAnsi="Calibri Light" w:cs="Calibri Light"/>
          <w:sz w:val="24"/>
        </w:rPr>
        <w:tab/>
        <w:t>Bộ Y tế. Quyết định 2892/QĐ-BYT về việc ban hành tài liệu “Hướng dẫn chẩn đoán và điều trị bệnh béo phì.” Published online 2022.</w:t>
      </w:r>
    </w:p>
    <w:p w:rsidR="00CA5F5C" w:rsidRPr="00CA5F5C" w:rsidRDefault="00CA5F5C" w:rsidP="00CA5F5C">
      <w:pPr>
        <w:pStyle w:val="Bibliography"/>
        <w:rPr>
          <w:rFonts w:ascii="Calibri Light" w:hAnsi="Calibri Light" w:cs="Calibri Light"/>
          <w:sz w:val="24"/>
        </w:rPr>
      </w:pPr>
      <w:r w:rsidRPr="00CA5F5C">
        <w:rPr>
          <w:rFonts w:ascii="Calibri Light" w:hAnsi="Calibri Light" w:cs="Calibri Light"/>
          <w:sz w:val="24"/>
        </w:rPr>
        <w:t>3.</w:t>
      </w:r>
      <w:r w:rsidRPr="00CA5F5C">
        <w:rPr>
          <w:rFonts w:ascii="Calibri Light" w:hAnsi="Calibri Light" w:cs="Calibri Light"/>
          <w:sz w:val="24"/>
        </w:rPr>
        <w:tab/>
        <w:t>Livingston G, Huntley J, Liu KY, et al. Dementia prevention, intervention, and c</w:t>
      </w:r>
      <w:r>
        <w:rPr>
          <w:rFonts w:ascii="Calibri Light" w:hAnsi="Calibri Light" w:cs="Calibri Light"/>
          <w:sz w:val="24"/>
        </w:rPr>
        <w:t>are: 2024 report of the Lancet S</w:t>
      </w:r>
      <w:r w:rsidRPr="00CA5F5C">
        <w:rPr>
          <w:rFonts w:ascii="Calibri Light" w:hAnsi="Calibri Light" w:cs="Calibri Light"/>
          <w:sz w:val="24"/>
        </w:rPr>
        <w:t xml:space="preserve">tanding Commission. </w:t>
      </w:r>
      <w:r w:rsidRPr="00CA5F5C">
        <w:rPr>
          <w:rFonts w:ascii="Calibri Light" w:hAnsi="Calibri Light" w:cs="Calibri Light"/>
          <w:i/>
          <w:iCs/>
          <w:sz w:val="24"/>
        </w:rPr>
        <w:t>The Lancet</w:t>
      </w:r>
      <w:r w:rsidRPr="00CA5F5C">
        <w:rPr>
          <w:rFonts w:ascii="Calibri Light" w:hAnsi="Calibri Light" w:cs="Calibri Light"/>
          <w:sz w:val="24"/>
        </w:rPr>
        <w:t>. 2024;404(10452):572-628. doi:10.1016/S0140-6736(24)01296-0</w:t>
      </w:r>
    </w:p>
    <w:p w:rsidR="00CA5F5C" w:rsidRPr="00CA5F5C" w:rsidRDefault="00CA5F5C" w:rsidP="00707230">
      <w:pPr>
        <w:ind w:left="66" w:firstLine="360"/>
        <w:jc w:val="both"/>
        <w:rPr>
          <w:rFonts w:asciiTheme="majorHAnsi" w:hAnsiTheme="majorHAnsi" w:cstheme="majorHAnsi"/>
          <w:b/>
          <w:sz w:val="24"/>
          <w:szCs w:val="24"/>
        </w:rPr>
      </w:pPr>
      <w:r>
        <w:rPr>
          <w:rFonts w:asciiTheme="majorHAnsi" w:hAnsiTheme="majorHAnsi" w:cstheme="majorHAnsi"/>
          <w:b/>
          <w:sz w:val="24"/>
          <w:szCs w:val="24"/>
        </w:rPr>
        <w:fldChar w:fldCharType="end"/>
      </w:r>
      <w:bookmarkStart w:id="4" w:name="_GoBack"/>
      <w:bookmarkEnd w:id="4"/>
    </w:p>
    <w:p w:rsidR="00220477" w:rsidRDefault="00CA5F5C"/>
    <w:sectPr w:rsidR="002204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773C9"/>
    <w:multiLevelType w:val="hybridMultilevel"/>
    <w:tmpl w:val="E7BCB2BE"/>
    <w:lvl w:ilvl="0" w:tplc="0409000F">
      <w:start w:val="1"/>
      <w:numFmt w:val="decimal"/>
      <w:lvlText w:val="%1."/>
      <w:lvlJc w:val="left"/>
      <w:pPr>
        <w:ind w:left="720" w:hanging="360"/>
      </w:pPr>
      <w:rPr>
        <w:rFonts w:hint="default"/>
      </w:rPr>
    </w:lvl>
    <w:lvl w:ilvl="1" w:tplc="BC88449A">
      <w:start w:val="1"/>
      <w:numFmt w:val="decimal"/>
      <w:lvlText w:val="%2."/>
      <w:lvlJc w:val="left"/>
      <w:pPr>
        <w:ind w:left="1440" w:hanging="360"/>
      </w:pPr>
      <w:rPr>
        <w:rFonts w:asciiTheme="majorHAnsi" w:eastAsiaTheme="minorHAnsi" w:hAnsiTheme="majorHAnsi" w:cstheme="maj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047D2"/>
    <w:multiLevelType w:val="hybridMultilevel"/>
    <w:tmpl w:val="37787AE6"/>
    <w:lvl w:ilvl="0" w:tplc="4A4A83D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230"/>
    <w:rsid w:val="004E6FB5"/>
    <w:rsid w:val="00707230"/>
    <w:rsid w:val="00CA5F5C"/>
    <w:rsid w:val="00F2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B395"/>
  <w15:chartTrackingRefBased/>
  <w15:docId w15:val="{7A039FD0-3528-419D-BB2B-1CFD4BCE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30"/>
    <w:pPr>
      <w:ind w:left="720"/>
      <w:contextualSpacing/>
    </w:pPr>
  </w:style>
  <w:style w:type="paragraph" w:styleId="Bibliography">
    <w:name w:val="Bibliography"/>
    <w:basedOn w:val="Normal"/>
    <w:next w:val="Normal"/>
    <w:uiPriority w:val="37"/>
    <w:unhideWhenUsed/>
    <w:rsid w:val="00CA5F5C"/>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Linh</cp:lastModifiedBy>
  <cp:revision>1</cp:revision>
  <dcterms:created xsi:type="dcterms:W3CDTF">2025-08-27T01:12:00Z</dcterms:created>
  <dcterms:modified xsi:type="dcterms:W3CDTF">2025-08-27T01:41:00Z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id="6KOjpKlr"/&gt;&lt;style id="http://www.zotero.org/styles/american-medical-association" hasBibliography="1" bibliographyStyleHasBeenSet="1"/&gt;&lt;prefs&gt;&lt;pref name="fieldType" value="Field"/&gt;&lt;/prefs&gt;&lt;/data&gt;</vt:lpwstr>
  </property>
</Properties>
</file>